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05644E">
        <w:rPr>
          <w:sz w:val="26"/>
          <w:szCs w:val="26"/>
        </w:rPr>
        <w:t>352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05644E">
        <w:rPr>
          <w:sz w:val="26"/>
          <w:szCs w:val="26"/>
        </w:rPr>
        <w:t>1310</w:t>
      </w:r>
      <w:r w:rsidRPr="000B2AB3">
        <w:rPr>
          <w:sz w:val="26"/>
          <w:szCs w:val="26"/>
        </w:rPr>
        <w:t>-</w:t>
      </w:r>
      <w:r w:rsidR="0005644E">
        <w:rPr>
          <w:sz w:val="26"/>
          <w:szCs w:val="26"/>
        </w:rPr>
        <w:t>29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337B04">
        <w:rPr>
          <w:sz w:val="26"/>
          <w:szCs w:val="26"/>
        </w:rPr>
        <w:t xml:space="preserve">    </w:t>
      </w:r>
      <w:r w:rsidRPr="000B2AB3" w:rsidR="00E373FA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19</w:t>
      </w:r>
      <w:r w:rsidRPr="000B2AB3" w:rsidR="00852F73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мая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5644E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05644E">
        <w:rPr>
          <w:sz w:val="26"/>
          <w:szCs w:val="26"/>
        </w:rPr>
        <w:t>Бабаева Камила Камал оглы</w:t>
      </w:r>
      <w:r w:rsidRPr="000B2AB3" w:rsidR="00C7263D">
        <w:rPr>
          <w:sz w:val="26"/>
          <w:szCs w:val="26"/>
        </w:rPr>
        <w:t>,</w:t>
      </w:r>
      <w:r w:rsidR="00872BE5">
        <w:rPr>
          <w:sz w:val="26"/>
          <w:szCs w:val="26"/>
        </w:rPr>
        <w:t xml:space="preserve"> 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>ранее привлекавше</w:t>
      </w:r>
      <w:r w:rsidRPr="000B2AB3" w:rsidR="004B21EF">
        <w:rPr>
          <w:sz w:val="26"/>
          <w:szCs w:val="26"/>
        </w:rPr>
        <w:t>го</w:t>
      </w:r>
      <w:r w:rsidRPr="000B2AB3" w:rsidR="007032E5">
        <w:rPr>
          <w:sz w:val="26"/>
          <w:szCs w:val="26"/>
        </w:rPr>
        <w:t xml:space="preserve">ся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05644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15.04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20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40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>
        <w:rPr>
          <w:sz w:val="26"/>
          <w:szCs w:val="26"/>
        </w:rPr>
        <w:t>Мира д. 28</w:t>
      </w:r>
      <w:r w:rsidRPr="000B2AB3" w:rsidR="008E0E58">
        <w:rPr>
          <w:sz w:val="26"/>
          <w:szCs w:val="26"/>
        </w:rPr>
        <w:t>,</w:t>
      </w:r>
      <w:r w:rsidRPr="000B2AB3" w:rsidR="0003748A">
        <w:rPr>
          <w:sz w:val="26"/>
          <w:szCs w:val="26"/>
        </w:rPr>
        <w:t xml:space="preserve"> </w:t>
      </w:r>
      <w:r>
        <w:rPr>
          <w:sz w:val="26"/>
          <w:szCs w:val="26"/>
        </w:rPr>
        <w:t>водитель Бабаев К.К.о.</w:t>
      </w:r>
      <w:r w:rsidR="00770B3F">
        <w:rPr>
          <w:sz w:val="26"/>
          <w:szCs w:val="26"/>
        </w:rPr>
        <w:t>,</w:t>
      </w:r>
      <w:r w:rsidRPr="000B2AB3" w:rsidR="008720F4">
        <w:rPr>
          <w:sz w:val="26"/>
          <w:szCs w:val="26"/>
        </w:rPr>
        <w:t xml:space="preserve"> управляя </w:t>
      </w:r>
      <w:r w:rsidR="00872BE5">
        <w:rPr>
          <w:sz w:val="26"/>
          <w:szCs w:val="26"/>
        </w:rPr>
        <w:t>*</w:t>
      </w:r>
      <w:r>
        <w:rPr>
          <w:sz w:val="26"/>
          <w:szCs w:val="26"/>
        </w:rPr>
        <w:t xml:space="preserve"> Р964КТ186 совершил обгон движущегося впереди транспортного средства, выехал на полосу</w:t>
      </w:r>
      <w:r w:rsidR="00337B04">
        <w:rPr>
          <w:sz w:val="26"/>
          <w:szCs w:val="26"/>
        </w:rPr>
        <w:t>,</w:t>
      </w:r>
      <w:r>
        <w:rPr>
          <w:sz w:val="26"/>
          <w:szCs w:val="26"/>
        </w:rPr>
        <w:t xml:space="preserve"> предназначенную для встречного движения на не регулируемом пешеходной переходе, обозначенного дорожными знаками 5.19.1, 5.19.2,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816465">
        <w:rPr>
          <w:sz w:val="26"/>
          <w:szCs w:val="26"/>
        </w:rPr>
        <w:t xml:space="preserve"> </w:t>
      </w:r>
      <w:r w:rsidRPr="000B2AB3" w:rsidR="006D07DF">
        <w:rPr>
          <w:sz w:val="26"/>
          <w:szCs w:val="26"/>
        </w:rPr>
        <w:t xml:space="preserve">п. </w:t>
      </w:r>
      <w:r w:rsidR="00770B3F">
        <w:rPr>
          <w:sz w:val="26"/>
          <w:szCs w:val="26"/>
        </w:rPr>
        <w:t>1.</w:t>
      </w:r>
      <w:r w:rsidRPr="000B2AB3" w:rsidR="00171E4D">
        <w:rPr>
          <w:sz w:val="26"/>
          <w:szCs w:val="26"/>
        </w:rPr>
        <w:t>3</w:t>
      </w:r>
      <w:r w:rsidR="00770B3F">
        <w:rPr>
          <w:sz w:val="26"/>
          <w:szCs w:val="26"/>
        </w:rPr>
        <w:t>,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5644E">
        <w:rPr>
          <w:sz w:val="26"/>
          <w:szCs w:val="26"/>
        </w:rPr>
        <w:t>Бабаев К.К.о.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</w:t>
      </w:r>
      <w:r w:rsidR="0005644E">
        <w:rPr>
          <w:sz w:val="26"/>
          <w:szCs w:val="26"/>
        </w:rPr>
        <w:t>.</w:t>
      </w:r>
    </w:p>
    <w:p w:rsidR="0006791D" w:rsidRPr="000B2AB3" w:rsidP="00953EA0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 w:rsidR="0005644E">
        <w:rPr>
          <w:sz w:val="26"/>
          <w:szCs w:val="26"/>
        </w:rPr>
        <w:t>Бабаева К.К.о</w:t>
      </w:r>
      <w:r w:rsidR="00770B3F">
        <w:rPr>
          <w:sz w:val="26"/>
          <w:szCs w:val="26"/>
        </w:rPr>
        <w:t>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86 ХМ388189</w:t>
      </w:r>
      <w:r w:rsidR="00770B3F">
        <w:rPr>
          <w:sz w:val="26"/>
          <w:szCs w:val="26"/>
        </w:rPr>
        <w:t>3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 w:rsidR="0005644E">
        <w:rPr>
          <w:sz w:val="26"/>
          <w:szCs w:val="26"/>
        </w:rPr>
        <w:t>15.04</w:t>
      </w:r>
      <w:r w:rsidRPr="000B2AB3" w:rsidR="00171E4D">
        <w:rPr>
          <w:sz w:val="26"/>
          <w:szCs w:val="26"/>
        </w:rPr>
        <w:t>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 w:rsidR="0005644E">
        <w:rPr>
          <w:sz w:val="26"/>
          <w:szCs w:val="26"/>
        </w:rPr>
        <w:t>Бабаевым К.К.о.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Бабаеву К.К.о.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 w:rsidR="0005644E">
        <w:rPr>
          <w:sz w:val="26"/>
          <w:szCs w:val="26"/>
        </w:rPr>
        <w:t>Бабаев К.К.о.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копию ВУ</w:t>
      </w:r>
      <w:r w:rsidRPr="000B2AB3" w:rsidR="00953EA0">
        <w:rPr>
          <w:sz w:val="26"/>
          <w:szCs w:val="26"/>
        </w:rPr>
        <w:t xml:space="preserve">; 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карточку операции с ВУ;  карточку учета трансп</w:t>
      </w:r>
      <w:r w:rsidR="00770B3F">
        <w:rPr>
          <w:sz w:val="26"/>
          <w:szCs w:val="26"/>
        </w:rPr>
        <w:t xml:space="preserve">ортного средства; рапорт </w:t>
      </w:r>
      <w:r w:rsidR="0005644E">
        <w:rPr>
          <w:sz w:val="26"/>
          <w:szCs w:val="26"/>
        </w:rPr>
        <w:t xml:space="preserve">ст. </w:t>
      </w:r>
      <w:r w:rsidR="00770B3F">
        <w:rPr>
          <w:sz w:val="26"/>
          <w:szCs w:val="26"/>
        </w:rPr>
        <w:t>ИДПС ОВ</w:t>
      </w:r>
      <w:r w:rsidRPr="000B2AB3" w:rsidR="007F5AF1">
        <w:rPr>
          <w:sz w:val="26"/>
          <w:szCs w:val="26"/>
        </w:rPr>
        <w:t xml:space="preserve"> ДПС ОГИБДД ОМВД России по г. Когалыму</w:t>
      </w:r>
      <w:r w:rsidR="0005644E">
        <w:rPr>
          <w:sz w:val="26"/>
          <w:szCs w:val="26"/>
        </w:rPr>
        <w:t xml:space="preserve"> от 15.04</w:t>
      </w:r>
      <w:r w:rsidRPr="000B2AB3" w:rsidR="007F5AF1">
        <w:rPr>
          <w:sz w:val="26"/>
          <w:szCs w:val="26"/>
        </w:rPr>
        <w:t xml:space="preserve">.2025, </w:t>
      </w:r>
      <w:r w:rsidRPr="000B2AB3" w:rsidR="00953EA0">
        <w:rPr>
          <w:sz w:val="26"/>
          <w:szCs w:val="26"/>
        </w:rPr>
        <w:t>который содержит сведения аналогичные протоколу об административном правонарушении;</w:t>
      </w:r>
      <w:r w:rsidR="0005644E">
        <w:rPr>
          <w:sz w:val="26"/>
          <w:szCs w:val="26"/>
        </w:rPr>
        <w:t xml:space="preserve"> </w:t>
      </w:r>
      <w:r w:rsidR="00D71A04">
        <w:rPr>
          <w:sz w:val="26"/>
          <w:szCs w:val="26"/>
        </w:rPr>
        <w:t>дислокацию дорожных знаков;</w:t>
      </w:r>
      <w:r w:rsidR="00770B3F">
        <w:rPr>
          <w:sz w:val="26"/>
          <w:szCs w:val="26"/>
        </w:rPr>
        <w:t xml:space="preserve">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337B04">
        <w:rPr>
          <w:sz w:val="26"/>
          <w:szCs w:val="26"/>
        </w:rPr>
        <w:t>Бабаева К.К.о.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и  5.19.2.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115729" w:rsidRPr="000B2A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>К отягчающему административную ответственность обстоятельству в соответствии со ст. 4.3 КоАП РФ, мировой судья относит повторное совершение однородного правонарушения</w:t>
      </w:r>
      <w:r w:rsidRPr="000B2AB3">
        <w:rPr>
          <w:sz w:val="26"/>
          <w:szCs w:val="26"/>
        </w:rPr>
        <w:t xml:space="preserve">. </w:t>
      </w:r>
    </w:p>
    <w:p w:rsidR="00352F4F" w:rsidRPr="000B2AB3" w:rsidP="00115729">
      <w:pPr>
        <w:ind w:firstLine="567"/>
        <w:jc w:val="both"/>
        <w:rPr>
          <w:i/>
          <w:sz w:val="26"/>
          <w:szCs w:val="26"/>
        </w:rPr>
      </w:pPr>
      <w:r w:rsidRPr="000B2AB3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 w:rsidR="00337B04">
        <w:rPr>
          <w:bCs/>
          <w:iCs/>
          <w:sz w:val="26"/>
          <w:szCs w:val="26"/>
        </w:rPr>
        <w:t>Бабаеву К.К.о.</w:t>
      </w:r>
      <w:r w:rsidRPr="000B2AB3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Бабаева Камил Камал оглы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 xml:space="preserve">статьей </w:t>
        </w:r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337B04">
        <w:rPr>
          <w:sz w:val="26"/>
          <w:szCs w:val="26"/>
        </w:rPr>
        <w:t>18810486250540001723.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337B04">
        <w:rPr>
          <w:bCs/>
          <w:sz w:val="26"/>
          <w:szCs w:val="26"/>
        </w:rPr>
        <w:t>ходится в материалах дела №5-352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05644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644E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44E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7B04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2BE5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92848"/>
    <w:rsid w:val="00AA0654"/>
    <w:rsid w:val="00AA4167"/>
    <w:rsid w:val="00AB18E5"/>
    <w:rsid w:val="00AC17F1"/>
    <w:rsid w:val="00AC35E6"/>
    <w:rsid w:val="00AE074A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38CF198C-F1F6-4B25-938F-4C7283CCF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DFCC60-DC36-4E25-8B3D-FD72E0D51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